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B" w:rsidRPr="001C5F87" w:rsidRDefault="00B62F43" w:rsidP="00BB4D6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CHAPTER 6</w:t>
      </w:r>
    </w:p>
    <w:p w:rsidR="001C5F87" w:rsidRPr="00DF4665" w:rsidRDefault="001C5F87" w:rsidP="00DF4665">
      <w:pPr>
        <w:spacing w:line="360" w:lineRule="auto"/>
        <w:jc w:val="center"/>
        <w:rPr>
          <w:rFonts w:ascii="Arial" w:hAnsi="Arial" w:cs="Arial"/>
          <w:b/>
        </w:rPr>
      </w:pPr>
      <w:r w:rsidRPr="001C5F87">
        <w:rPr>
          <w:rFonts w:ascii="Arial" w:hAnsi="Arial" w:cs="Arial"/>
          <w:b/>
        </w:rPr>
        <w:t>MUNICIPAL FINANCIAL MANAGEMENT</w:t>
      </w:r>
    </w:p>
    <w:p w:rsidR="00BB4D64" w:rsidRPr="00B62F43" w:rsidRDefault="00B62F43" w:rsidP="00B62F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6.8 </w:t>
      </w:r>
      <w:r w:rsidR="00BB4D64" w:rsidRPr="00B62F43">
        <w:rPr>
          <w:rFonts w:ascii="Arial" w:hAnsi="Arial" w:cs="Arial"/>
          <w:b/>
        </w:rPr>
        <w:t>AUDIT COMMITTEE ASSESSMENT TOOL</w:t>
      </w:r>
    </w:p>
    <w:p w:rsidR="007A539B" w:rsidRPr="001C5F87" w:rsidRDefault="00B62F43" w:rsidP="001C5F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B4D64">
        <w:rPr>
          <w:rFonts w:ascii="Arial" w:hAnsi="Arial" w:cs="Arial"/>
          <w:b/>
        </w:rPr>
        <w:t xml:space="preserve">.8.1 </w:t>
      </w:r>
      <w:r w:rsidR="001C5F87" w:rsidRPr="001C5F87">
        <w:rPr>
          <w:rFonts w:ascii="Arial" w:hAnsi="Arial" w:cs="Arial"/>
          <w:b/>
        </w:rPr>
        <w:t>PURPOSE</w:t>
      </w:r>
    </w:p>
    <w:p w:rsidR="004D0051" w:rsidRPr="001C5F87" w:rsidRDefault="00BB4D64" w:rsidP="001C5F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tool assesses the functionality of the audit committee. This is aimed at improving the efficiency and effectiveness of audit committees</w:t>
      </w:r>
      <w:r w:rsidR="00DF4665">
        <w:rPr>
          <w:rFonts w:ascii="Arial" w:hAnsi="Arial" w:cs="Arial"/>
        </w:rPr>
        <w:t xml:space="preserve"> and allowing for effective monitoring thereof.</w:t>
      </w:r>
    </w:p>
    <w:p w:rsidR="007A539B" w:rsidRPr="001C5F87" w:rsidRDefault="00B62F43" w:rsidP="001C5F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B4D64">
        <w:rPr>
          <w:rFonts w:ascii="Arial" w:hAnsi="Arial" w:cs="Arial"/>
          <w:b/>
        </w:rPr>
        <w:t xml:space="preserve">.8.2 </w:t>
      </w:r>
      <w:r w:rsidR="001C5F87" w:rsidRPr="001C5F87">
        <w:rPr>
          <w:rFonts w:ascii="Arial" w:hAnsi="Arial" w:cs="Arial"/>
          <w:b/>
        </w:rPr>
        <w:t>LEGISLATIVE MANDATE</w:t>
      </w:r>
    </w:p>
    <w:p w:rsidR="00F6041D" w:rsidRDefault="00BB4D64" w:rsidP="00F604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166 of the </w:t>
      </w:r>
      <w:r w:rsidR="00A9682D">
        <w:rPr>
          <w:rFonts w:ascii="Arial" w:hAnsi="Arial" w:cs="Arial"/>
        </w:rPr>
        <w:t>MFMA states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b/>
          <w:bCs/>
        </w:rPr>
        <w:t xml:space="preserve">166. </w:t>
      </w:r>
      <w:r w:rsidRPr="00A9682D">
        <w:rPr>
          <w:rFonts w:ascii="Arial" w:hAnsi="Arial" w:cs="Arial"/>
        </w:rPr>
        <w:t>(1) Each municipality and each municipal entity must have an audit committee,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subject to subsection (6).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(2) An audit committee is an independent advisory body which must—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(a) </w:t>
      </w:r>
      <w:r w:rsidRPr="00A9682D">
        <w:rPr>
          <w:rFonts w:ascii="Arial" w:hAnsi="Arial" w:cs="Arial"/>
        </w:rPr>
        <w:t>advise the municipal council, the political office-bearers, the accounting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officer and the management staff of the municipality, or the board of directors,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the accounting officer and the management staff of the municipal entity, on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matters relating to—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(i) internal financial control and internal audits;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(ii) risk management;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(iii) accounting policies;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lastRenderedPageBreak/>
        <w:t>(iv) the adequacy, reliability and accuracy of financial reporting and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information;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(v) performance management;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(vi) effective governance;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(vii) compliance with this Act, the annual Division of Revenue Act and any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other applicable legislation;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(viii) performance evaluation; and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(ix) any other issues referred to it by the municipality or municipal entity;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(b) </w:t>
      </w:r>
      <w:r w:rsidRPr="00A9682D">
        <w:rPr>
          <w:rFonts w:ascii="Arial" w:hAnsi="Arial" w:cs="Arial"/>
        </w:rPr>
        <w:t>review the annual financial statements to provide the council of the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municipality or, in the case of a municipal entity, the council of the parent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municipality and the board of directors of the entity, with an authoritative and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credible view of the financial position of the municipality or municipal entity,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its efficiency and effectiveness and its overall level of compliance with this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Act, the annual Division of Revenue Act and any other applicable legislation;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(c) </w:t>
      </w:r>
      <w:r w:rsidRPr="00A9682D">
        <w:rPr>
          <w:rFonts w:ascii="Arial" w:hAnsi="Arial" w:cs="Arial"/>
        </w:rPr>
        <w:t>respond to the council on any issues raised by the Auditor-General in the audit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report;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(d) </w:t>
      </w:r>
      <w:r w:rsidRPr="00A9682D">
        <w:rPr>
          <w:rFonts w:ascii="Arial" w:hAnsi="Arial" w:cs="Arial"/>
        </w:rPr>
        <w:t>carry out such investigations into the financial affairs of the municipality or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 entity as the council of the municipality, or in the case of a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 entity, the council of the parent municipality or the board of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directors of the entity, may request; and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(e) </w:t>
      </w:r>
      <w:r w:rsidRPr="00A9682D">
        <w:rPr>
          <w:rFonts w:ascii="Arial" w:hAnsi="Arial" w:cs="Arial"/>
        </w:rPr>
        <w:t>perform such other functions as may be prescribed.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(3) In performing its functions, an audit committee—</w:t>
      </w:r>
    </w:p>
    <w:p w:rsid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(a) </w:t>
      </w:r>
      <w:r w:rsidRPr="00A9682D">
        <w:rPr>
          <w:rFonts w:ascii="Arial" w:hAnsi="Arial" w:cs="Arial"/>
        </w:rPr>
        <w:t>has access to the financial records and other relevant information of the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municipality or municipal entity; and</w:t>
      </w:r>
      <w:r>
        <w:rPr>
          <w:rFonts w:ascii="Arial" w:hAnsi="Arial" w:cs="Arial"/>
        </w:rPr>
        <w:t xml:space="preserve"> 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(b) </w:t>
      </w:r>
      <w:r w:rsidRPr="00A9682D">
        <w:rPr>
          <w:rFonts w:ascii="Arial" w:hAnsi="Arial" w:cs="Arial"/>
        </w:rPr>
        <w:t>must liaise with—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(i) the internal audit unit of the municipality; and</w:t>
      </w:r>
    </w:p>
    <w:p w:rsidR="00A9682D" w:rsidRPr="00A9682D" w:rsidRDefault="00A9682D" w:rsidP="00A9682D">
      <w:pPr>
        <w:spacing w:line="360" w:lineRule="auto"/>
        <w:ind w:left="720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(ii) the person designated by the Auditor-General to audit the financial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statements of the municipality or municipal entity.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(4) An audit committee must—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(a) </w:t>
      </w:r>
      <w:r w:rsidRPr="00A9682D">
        <w:rPr>
          <w:rFonts w:ascii="Arial" w:hAnsi="Arial" w:cs="Arial"/>
        </w:rPr>
        <w:t>consist of at least three persons with appropriate experience, of whom the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majority may not be in the employ of the municipality or municipal entity, as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the case may be; and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(b) </w:t>
      </w:r>
      <w:r w:rsidRPr="00A9682D">
        <w:rPr>
          <w:rFonts w:ascii="Arial" w:hAnsi="Arial" w:cs="Arial"/>
        </w:rPr>
        <w:t>meet as often as is required to perform its functions, but at least four times a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year.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(5) The members of an audit committee must be appointed by the council of the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municipality or, in the case of a municipal entity, by the council of the parent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municipality. One of the members who is not in the employ of the municipality or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municipal entity, must be appointed as the chairperson of the committee. No councillor</w:t>
      </w:r>
      <w:r>
        <w:rPr>
          <w:rFonts w:ascii="Arial" w:hAnsi="Arial" w:cs="Arial"/>
        </w:rPr>
        <w:t xml:space="preserve"> </w:t>
      </w:r>
      <w:r w:rsidRPr="00A9682D">
        <w:rPr>
          <w:rFonts w:ascii="Arial" w:hAnsi="Arial" w:cs="Arial"/>
        </w:rPr>
        <w:t>may be a member of an audit committee.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(6) A single audit committee may be established for—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(a) </w:t>
      </w:r>
      <w:r w:rsidRPr="00A9682D">
        <w:rPr>
          <w:rFonts w:ascii="Arial" w:hAnsi="Arial" w:cs="Arial"/>
        </w:rPr>
        <w:t>a district municipality and the local municipalities within that district</w:t>
      </w:r>
    </w:p>
    <w:p w:rsidR="00A9682D" w:rsidRPr="00A9682D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</w:rPr>
        <w:t>municipality; and</w:t>
      </w:r>
    </w:p>
    <w:p w:rsidR="00A9682D" w:rsidRPr="00E27657" w:rsidRDefault="00A9682D" w:rsidP="00A9682D">
      <w:pPr>
        <w:spacing w:line="360" w:lineRule="auto"/>
        <w:jc w:val="both"/>
        <w:rPr>
          <w:rFonts w:ascii="Arial" w:hAnsi="Arial" w:cs="Arial"/>
        </w:rPr>
      </w:pPr>
      <w:r w:rsidRPr="00A9682D">
        <w:rPr>
          <w:rFonts w:ascii="Arial" w:hAnsi="Arial" w:cs="Arial"/>
          <w:i/>
          <w:iCs/>
        </w:rPr>
        <w:t xml:space="preserve">(b) </w:t>
      </w:r>
      <w:r w:rsidRPr="00A9682D">
        <w:rPr>
          <w:rFonts w:ascii="Arial" w:hAnsi="Arial" w:cs="Arial"/>
        </w:rPr>
        <w:t>a municipality and municipal entities under its sole control.</w:t>
      </w:r>
    </w:p>
    <w:p w:rsidR="00D64BC6" w:rsidRPr="001C5F87" w:rsidRDefault="00B62F43" w:rsidP="001C5F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A9682D">
        <w:rPr>
          <w:rFonts w:ascii="Arial" w:hAnsi="Arial" w:cs="Arial"/>
          <w:b/>
        </w:rPr>
        <w:t xml:space="preserve">.8.3 </w:t>
      </w:r>
      <w:r w:rsidR="001C5F87" w:rsidRPr="001C5F87">
        <w:rPr>
          <w:rFonts w:ascii="Arial" w:hAnsi="Arial" w:cs="Arial"/>
          <w:b/>
        </w:rPr>
        <w:t>APPLICATION</w:t>
      </w:r>
    </w:p>
    <w:p w:rsidR="001C5F87" w:rsidRDefault="001C5F87" w:rsidP="001C5F87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4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944"/>
        <w:gridCol w:w="1260"/>
        <w:gridCol w:w="1260"/>
        <w:gridCol w:w="1620"/>
        <w:gridCol w:w="3280"/>
      </w:tblGrid>
      <w:tr w:rsidR="00A9682D" w:rsidRPr="003F4C01" w:rsidTr="00703C49">
        <w:trPr>
          <w:tblHeader/>
        </w:trPr>
        <w:tc>
          <w:tcPr>
            <w:tcW w:w="716" w:type="dxa"/>
            <w:shd w:val="clear" w:color="auto" w:fill="D9D9D9"/>
          </w:tcPr>
          <w:p w:rsidR="00A9682D" w:rsidRPr="003F4C01" w:rsidRDefault="00A9682D" w:rsidP="0070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C01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944" w:type="dxa"/>
            <w:shd w:val="clear" w:color="auto" w:fill="D9D9D9"/>
          </w:tcPr>
          <w:p w:rsidR="00A9682D" w:rsidRPr="003F4C01" w:rsidRDefault="00A9682D" w:rsidP="00703C49">
            <w:pPr>
              <w:tabs>
                <w:tab w:val="left" w:pos="1104"/>
                <w:tab w:val="center" w:pos="286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4C01">
              <w:rPr>
                <w:rFonts w:ascii="Arial" w:hAnsi="Arial" w:cs="Arial"/>
                <w:b/>
                <w:sz w:val="20"/>
                <w:szCs w:val="20"/>
              </w:rPr>
              <w:t>Principal components of effective Audit Committee</w:t>
            </w:r>
          </w:p>
        </w:tc>
        <w:tc>
          <w:tcPr>
            <w:tcW w:w="1260" w:type="dxa"/>
            <w:shd w:val="clear" w:color="auto" w:fill="D9D9D9"/>
          </w:tcPr>
          <w:p w:rsidR="00A9682D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Legislative</w:t>
            </w:r>
          </w:p>
          <w:p w:rsidR="00A9682D" w:rsidRPr="003F4C01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MFMA</w:t>
            </w:r>
          </w:p>
        </w:tc>
        <w:tc>
          <w:tcPr>
            <w:tcW w:w="1260" w:type="dxa"/>
            <w:shd w:val="clear" w:color="auto" w:fill="D9D9D9"/>
          </w:tcPr>
          <w:p w:rsidR="00A9682D" w:rsidRPr="003F4C01" w:rsidRDefault="00A9682D" w:rsidP="0070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C01">
              <w:rPr>
                <w:rFonts w:ascii="Arial" w:hAnsi="Arial" w:cs="Arial"/>
                <w:b/>
                <w:sz w:val="20"/>
                <w:szCs w:val="20"/>
              </w:rPr>
              <w:t>Period</w:t>
            </w:r>
          </w:p>
        </w:tc>
        <w:tc>
          <w:tcPr>
            <w:tcW w:w="1620" w:type="dxa"/>
            <w:shd w:val="clear" w:color="auto" w:fill="D9D9D9"/>
          </w:tcPr>
          <w:p w:rsidR="00A9682D" w:rsidRPr="003F4C01" w:rsidRDefault="00A9682D" w:rsidP="00703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4C01">
              <w:rPr>
                <w:rFonts w:ascii="Arial" w:hAnsi="Arial" w:cs="Arial"/>
                <w:b/>
                <w:sz w:val="20"/>
                <w:szCs w:val="20"/>
              </w:rPr>
              <w:t>Is practice followed Yes/No/ N/A</w:t>
            </w:r>
          </w:p>
        </w:tc>
        <w:tc>
          <w:tcPr>
            <w:tcW w:w="3280" w:type="dxa"/>
            <w:shd w:val="clear" w:color="auto" w:fill="D9D9D9"/>
          </w:tcPr>
          <w:p w:rsidR="00A9682D" w:rsidRPr="003F4C01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4C01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9682D" w:rsidRPr="003F4C01" w:rsidTr="00703C49">
        <w:tc>
          <w:tcPr>
            <w:tcW w:w="716" w:type="dxa"/>
            <w:shd w:val="clear" w:color="auto" w:fill="92CDDC" w:themeFill="accent5" w:themeFillTint="99"/>
          </w:tcPr>
          <w:p w:rsidR="00A9682D" w:rsidRPr="00B00A7B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0A7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364" w:type="dxa"/>
            <w:gridSpan w:val="5"/>
            <w:shd w:val="clear" w:color="auto" w:fill="92CDDC" w:themeFill="accent5" w:themeFillTint="99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STATUTORY OBLIGATION</w:t>
            </w:r>
            <w:r w:rsidRPr="002948D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- FUNCTIONALITY</w:t>
            </w:r>
            <w:r w:rsidRPr="003F4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B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B9F">
              <w:rPr>
                <w:rFonts w:ascii="Arial" w:hAnsi="Arial" w:cs="Arial"/>
                <w:b/>
                <w:sz w:val="20"/>
                <w:szCs w:val="20"/>
              </w:rPr>
              <w:t>THE AUDIT COMMITTEE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Does the Municipality have an Audit Committee?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Provide details of Chair and other members (include their expertise)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S166(1)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Name &amp; Surname of AC Chairperson and AC members with contact numbers and e-mail addresses. State their professional expertise and capacity</w:t>
            </w:r>
          </w:p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Indicate AC working in the organ of the state (department, municipalities and public entity)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Is the Audit Committee independent and objective in performing its duties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S166(2)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 xml:space="preserve">Does the committee provide effective oversight at meetings and do they question information 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Audit Committee have</w:t>
            </w:r>
            <w:r w:rsidRPr="003F4C01">
              <w:rPr>
                <w:rFonts w:ascii="Arial" w:hAnsi="Arial" w:cs="Arial"/>
                <w:sz w:val="20"/>
                <w:szCs w:val="20"/>
              </w:rPr>
              <w:t xml:space="preserve"> dedicated secretariat support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 Circular 65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Has the support been outsourced or is the IA unit performing this function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Does the Audit Committee members declare interests with the Municipality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 Circular 65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How are interests declared? Is a declaration form signed at every meeting or has it been signed once off.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Has the Audit Committee developed a charter that is reviewed and updated annually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 Circular 65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Include date of review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The Audit Committee: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Holds sufficient number of meetings, scheduled at appropriate points to address its responsibilities on a timely basis (at least four meetings per year)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S161(4)(b)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Provide d</w:t>
            </w: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>ate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 xml:space="preserve"> of the meeting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during the year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Meet with management and the internal auditors to review the financial statements and the results of the audit prior to presentation to the Council.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 Circular 65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Provide d</w:t>
            </w: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>ate of review of AFS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and the report of the audit committee of the review of the AFS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Review reports of investigations and management responses.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S166(2)(d)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On-going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Does the AC interrogate  these reports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944" w:type="dxa"/>
          </w:tcPr>
          <w:p w:rsidR="00A9682D" w:rsidRPr="009732CF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9732CF">
              <w:rPr>
                <w:rFonts w:ascii="Arial" w:hAnsi="Arial" w:cs="Arial"/>
                <w:sz w:val="20"/>
                <w:szCs w:val="20"/>
              </w:rPr>
              <w:t>Reviews the risk management registers including the disaster recovery plans for the year and provide advice of focus areas.</w:t>
            </w:r>
          </w:p>
        </w:tc>
        <w:tc>
          <w:tcPr>
            <w:tcW w:w="1260" w:type="dxa"/>
          </w:tcPr>
          <w:p w:rsidR="00A9682D" w:rsidRPr="009732CF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9732CF">
              <w:rPr>
                <w:rFonts w:ascii="Arial" w:hAnsi="Arial" w:cs="Arial"/>
                <w:sz w:val="20"/>
                <w:szCs w:val="20"/>
              </w:rPr>
              <w:t>S166(2)(a)(ii)</w:t>
            </w:r>
          </w:p>
        </w:tc>
        <w:tc>
          <w:tcPr>
            <w:tcW w:w="1260" w:type="dxa"/>
          </w:tcPr>
          <w:p w:rsidR="00A9682D" w:rsidRPr="009732CF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9732CF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</w:tcPr>
          <w:p w:rsidR="00A9682D" w:rsidRPr="009732CF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Does the AC interrogate  these reports</w:t>
            </w:r>
          </w:p>
        </w:tc>
      </w:tr>
      <w:tr w:rsidR="00A9682D" w:rsidRPr="003F4C01" w:rsidTr="00703C49">
        <w:tc>
          <w:tcPr>
            <w:tcW w:w="716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944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Monitor progress on the audit action plan and provide advice where necessary.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S166(2)(c)</w:t>
            </w:r>
          </w:p>
        </w:tc>
        <w:tc>
          <w:tcPr>
            <w:tcW w:w="126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620" w:type="dxa"/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Does the AC interrogate  these reports</w:t>
            </w:r>
          </w:p>
        </w:tc>
      </w:tr>
      <w:tr w:rsidR="00A9682D" w:rsidRPr="00C237C2" w:rsidTr="00703C49">
        <w:tc>
          <w:tcPr>
            <w:tcW w:w="716" w:type="dxa"/>
            <w:vMerge w:val="restart"/>
            <w:shd w:val="clear" w:color="auto" w:fill="B2A1C7" w:themeFill="accent4" w:themeFillTint="99"/>
          </w:tcPr>
          <w:p w:rsidR="00A9682D" w:rsidRPr="00C237C2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364" w:type="dxa"/>
            <w:gridSpan w:val="5"/>
            <w:shd w:val="clear" w:color="auto" w:fill="B2A1C7" w:themeFill="accent4" w:themeFillTint="99"/>
          </w:tcPr>
          <w:p w:rsidR="00A9682D" w:rsidRPr="00C237C2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C237C2">
              <w:rPr>
                <w:rFonts w:ascii="Arial" w:hAnsi="Arial" w:cs="Arial"/>
                <w:b/>
                <w:sz w:val="20"/>
                <w:szCs w:val="20"/>
              </w:rPr>
              <w:t>EFFECTIVENESS AND LEVEL OF ASSURANCE</w:t>
            </w:r>
          </w:p>
        </w:tc>
      </w:tr>
      <w:tr w:rsidR="00A9682D" w:rsidRPr="00C237C2" w:rsidTr="00703C49">
        <w:tc>
          <w:tcPr>
            <w:tcW w:w="716" w:type="dxa"/>
            <w:vMerge/>
            <w:shd w:val="clear" w:color="auto" w:fill="B2A1C7" w:themeFill="accent4" w:themeFillTint="99"/>
          </w:tcPr>
          <w:p w:rsidR="00A9682D" w:rsidRPr="00C237C2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4" w:type="dxa"/>
            <w:gridSpan w:val="5"/>
            <w:shd w:val="clear" w:color="auto" w:fill="B2A1C7" w:themeFill="accent4" w:themeFillTint="99"/>
          </w:tcPr>
          <w:p w:rsidR="00A9682D" w:rsidRPr="00C237C2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C237C2">
              <w:rPr>
                <w:rFonts w:ascii="Arial" w:hAnsi="Arial" w:cs="Arial"/>
                <w:b/>
                <w:sz w:val="20"/>
                <w:szCs w:val="20"/>
              </w:rPr>
              <w:t>AUDIT COMMITTEE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3F4C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The Audit Committee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Clearly understands and agrees with management on which elements of internal control – financial reporting, operational effectiveness and efficiency, and compliance with laws and regulations – it oversees on behalf of Council.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Are the committee members knowledgeable and experienced in their contribution at meetings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4C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Sees that management addresses, on a timely basis, significant control exposures, relying on internal and external auditors as required to assess adequacy of corrective actions taken.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 xml:space="preserve">Does the member recommend significant corrective control measures 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4C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Reviews and recommend internal audit’s charter to determine internal audit’s objectivity.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4C01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Reviews internal audit plans, ensuring appropriate internal audit coverage of key control systems, and proper degree of coordination of work with external auditors.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adequate review of the internal audit plans to ensure that all compliance audits conducted taking into account the IA capacity at the municipality </w:t>
            </w:r>
          </w:p>
        </w:tc>
      </w:tr>
      <w:tr w:rsidR="00A9682D" w:rsidRPr="003F4C01" w:rsidTr="00703C49">
        <w:trPr>
          <w:trHeight w:val="290"/>
        </w:trPr>
        <w:tc>
          <w:tcPr>
            <w:tcW w:w="716" w:type="dxa"/>
            <w:vMerge w:val="restart"/>
            <w:shd w:val="clear" w:color="auto" w:fill="FBD4B4" w:themeFill="accent6" w:themeFillTint="66"/>
          </w:tcPr>
          <w:p w:rsidR="00A9682D" w:rsidRPr="00B00A7B" w:rsidRDefault="00A9682D" w:rsidP="00703C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3364" w:type="dxa"/>
            <w:gridSpan w:val="5"/>
            <w:shd w:val="clear" w:color="auto" w:fill="FBD4B4" w:themeFill="accent6" w:themeFillTint="66"/>
          </w:tcPr>
          <w:p w:rsidR="00A9682D" w:rsidRPr="00B00A7B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B00A7B">
              <w:rPr>
                <w:rFonts w:ascii="Arial" w:hAnsi="Arial" w:cs="Arial"/>
                <w:b/>
                <w:sz w:val="20"/>
                <w:szCs w:val="20"/>
              </w:rPr>
              <w:t>ASSURANCE PRINCIPLES AND EFFECTIVENESS RESPONSES</w:t>
            </w:r>
          </w:p>
        </w:tc>
      </w:tr>
      <w:tr w:rsidR="00A9682D" w:rsidRPr="003F4C01" w:rsidTr="00703C49">
        <w:tc>
          <w:tcPr>
            <w:tcW w:w="716" w:type="dxa"/>
            <w:vMerge/>
            <w:shd w:val="clear" w:color="auto" w:fill="FBD4B4" w:themeFill="accent6" w:themeFillTint="66"/>
          </w:tcPr>
          <w:p w:rsidR="00A9682D" w:rsidRPr="00B00A7B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4" w:type="dxa"/>
            <w:gridSpan w:val="5"/>
            <w:shd w:val="clear" w:color="auto" w:fill="FBD4B4" w:themeFill="accent6" w:themeFillTint="66"/>
          </w:tcPr>
          <w:p w:rsidR="00A9682D" w:rsidRPr="00B00A7B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B00A7B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3F4C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The Audit Committee: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Maintains a constructive relationship with management and MPAC with open lines of communication and ongoing dialogue.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 xml:space="preserve">Does the members have good relationship with management 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Meetings are effective, with advance buy-in on the agenda, and the right amount of quality advance material distributed in a timely manner, which members review before meetings.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C237C2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7C2">
              <w:rPr>
                <w:rFonts w:ascii="Arial" w:hAnsi="Arial" w:cs="Arial"/>
                <w:color w:val="FF0000"/>
                <w:sz w:val="20"/>
                <w:szCs w:val="20"/>
              </w:rPr>
              <w:t>Are the agenda packs distributed 7 -10 days before the meeting. Are there frequent changes to the agenda at meetings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The Audit Committee:</w:t>
            </w: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3F4C01">
              <w:rPr>
                <w:rFonts w:ascii="Arial" w:hAnsi="Arial" w:cs="Arial"/>
                <w:sz w:val="20"/>
                <w:szCs w:val="20"/>
              </w:rPr>
              <w:t>Does the Audit Committee report to Council on quarterly</w:t>
            </w:r>
            <w:r>
              <w:rPr>
                <w:rFonts w:ascii="Arial" w:hAnsi="Arial" w:cs="Arial"/>
                <w:sz w:val="20"/>
                <w:szCs w:val="20"/>
              </w:rPr>
              <w:t>/ half yearly (as recommended by AG)</w:t>
            </w:r>
            <w:r w:rsidRPr="003F4C01">
              <w:rPr>
                <w:rFonts w:ascii="Arial" w:hAnsi="Arial" w:cs="Arial"/>
                <w:sz w:val="20"/>
                <w:szCs w:val="20"/>
              </w:rPr>
              <w:t xml:space="preserve"> basis to fulfill its duties as an oversight body and advisory to Council?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yearly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 recent </w:t>
            </w:r>
            <w:r w:rsidRPr="00552993">
              <w:rPr>
                <w:rFonts w:ascii="Arial" w:hAnsi="Arial" w:cs="Arial"/>
                <w:color w:val="FF0000"/>
                <w:sz w:val="20"/>
                <w:szCs w:val="20"/>
              </w:rPr>
              <w:t>AC report submitted to Council (required by AG bi annually or quarterly.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Internal Audit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552993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Municipality have an in-house or outsourced internal audit?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552993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If outsourced, provide name of consultant , duration of contract, term and cost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Pr="003F4C01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Municipality have sufficient resources in the Internal Audit Unit? Are all posts filled as per organogram?                          Does the municipality have a Head/ Manager internal audit?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Pr="00552993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Provide the Details of the Head IA/ Manager IA. Elaborate on the IA capacity and if it is adequate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Internal Audit conducted a review on the draft Interim /Annual Financial Statements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yearly/ Annually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Provide a date on the review of draft AFS and report.</w:t>
            </w:r>
          </w:p>
        </w:tc>
      </w:tr>
      <w:tr w:rsidR="00A9682D" w:rsidRPr="003F4C01" w:rsidTr="00703C49">
        <w:tc>
          <w:tcPr>
            <w:tcW w:w="716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IA conduct attest work on the audit action plan to verify and confirm the validity, accuracy and completeness on remedial action taken to resolve the audit finding?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9682D" w:rsidRDefault="00A9682D" w:rsidP="00703C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Provide an updated audit action plan with IA comments/ recommendations.</w:t>
            </w:r>
          </w:p>
        </w:tc>
      </w:tr>
    </w:tbl>
    <w:p w:rsidR="00A9682D" w:rsidRPr="003F4C01" w:rsidRDefault="00A9682D" w:rsidP="00A9682D">
      <w:pPr>
        <w:rPr>
          <w:rFonts w:ascii="Arial" w:hAnsi="Arial" w:cs="Arial"/>
          <w:sz w:val="20"/>
          <w:szCs w:val="20"/>
        </w:rPr>
      </w:pPr>
    </w:p>
    <w:p w:rsidR="001C5F87" w:rsidRPr="001C5F87" w:rsidRDefault="001C5F87" w:rsidP="00A9682D">
      <w:pPr>
        <w:spacing w:line="360" w:lineRule="auto"/>
        <w:jc w:val="both"/>
        <w:rPr>
          <w:rFonts w:ascii="Arial" w:hAnsi="Arial" w:cs="Arial"/>
        </w:rPr>
      </w:pPr>
    </w:p>
    <w:sectPr w:rsidR="001C5F87" w:rsidRPr="001C5F87" w:rsidSect="00A9682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0C" w:rsidRDefault="00727B0C" w:rsidP="001C5F87">
      <w:pPr>
        <w:spacing w:after="0" w:line="240" w:lineRule="auto"/>
      </w:pPr>
      <w:r>
        <w:separator/>
      </w:r>
    </w:p>
  </w:endnote>
  <w:endnote w:type="continuationSeparator" w:id="0">
    <w:p w:rsidR="00727B0C" w:rsidRDefault="00727B0C" w:rsidP="001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689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579" w:rsidRDefault="00B33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5F87" w:rsidRDefault="001C5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0C" w:rsidRDefault="00727B0C" w:rsidP="001C5F87">
      <w:pPr>
        <w:spacing w:after="0" w:line="240" w:lineRule="auto"/>
      </w:pPr>
      <w:r>
        <w:separator/>
      </w:r>
    </w:p>
  </w:footnote>
  <w:footnote w:type="continuationSeparator" w:id="0">
    <w:p w:rsidR="00727B0C" w:rsidRDefault="00727B0C" w:rsidP="001C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145"/>
    <w:multiLevelType w:val="hybridMultilevel"/>
    <w:tmpl w:val="92A683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2CEC"/>
    <w:multiLevelType w:val="hybridMultilevel"/>
    <w:tmpl w:val="E11A35AE"/>
    <w:lvl w:ilvl="0" w:tplc="D5BC4C76">
      <w:start w:val="5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5D61"/>
    <w:multiLevelType w:val="multilevel"/>
    <w:tmpl w:val="36908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D415462"/>
    <w:multiLevelType w:val="multilevel"/>
    <w:tmpl w:val="0660C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E97660"/>
    <w:multiLevelType w:val="hybridMultilevel"/>
    <w:tmpl w:val="138C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C5"/>
    <w:rsid w:val="001C5F87"/>
    <w:rsid w:val="001E1420"/>
    <w:rsid w:val="00313331"/>
    <w:rsid w:val="0038023D"/>
    <w:rsid w:val="003841C5"/>
    <w:rsid w:val="00457665"/>
    <w:rsid w:val="004D0051"/>
    <w:rsid w:val="00543620"/>
    <w:rsid w:val="00553180"/>
    <w:rsid w:val="005D6A5D"/>
    <w:rsid w:val="006B5001"/>
    <w:rsid w:val="00721CEE"/>
    <w:rsid w:val="00727B0C"/>
    <w:rsid w:val="00770930"/>
    <w:rsid w:val="007A539B"/>
    <w:rsid w:val="00826CF7"/>
    <w:rsid w:val="00A05EEA"/>
    <w:rsid w:val="00A9682D"/>
    <w:rsid w:val="00AD531A"/>
    <w:rsid w:val="00AE101E"/>
    <w:rsid w:val="00B33579"/>
    <w:rsid w:val="00B62F43"/>
    <w:rsid w:val="00BA6050"/>
    <w:rsid w:val="00BB4D64"/>
    <w:rsid w:val="00D64BC6"/>
    <w:rsid w:val="00DE42FC"/>
    <w:rsid w:val="00DF4665"/>
    <w:rsid w:val="00E27657"/>
    <w:rsid w:val="00E63FCD"/>
    <w:rsid w:val="00F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87"/>
  </w:style>
  <w:style w:type="paragraph" w:styleId="Footer">
    <w:name w:val="footer"/>
    <w:basedOn w:val="Normal"/>
    <w:link w:val="FooterChar"/>
    <w:uiPriority w:val="99"/>
    <w:unhideWhenUsed/>
    <w:rsid w:val="001C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87"/>
  </w:style>
  <w:style w:type="paragraph" w:styleId="Footer">
    <w:name w:val="footer"/>
    <w:basedOn w:val="Normal"/>
    <w:link w:val="FooterChar"/>
    <w:uiPriority w:val="99"/>
    <w:unhideWhenUsed/>
    <w:rsid w:val="001C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2020-02-21T10:48:00Z</cp:lastPrinted>
  <dcterms:created xsi:type="dcterms:W3CDTF">2020-01-22T12:57:00Z</dcterms:created>
  <dcterms:modified xsi:type="dcterms:W3CDTF">2020-02-26T07:45:00Z</dcterms:modified>
</cp:coreProperties>
</file>